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7194A"/>
          <w:sz w:val="36"/>
        </w:rPr>
        <w:t>CORSO DI AGGIORNAMENTO PER MEDIATORI CIVILI E COMMERCIALI</w:t>
      </w:r>
    </w:p>
    <w:p>
      <w:pPr>
        <w:jc w:val="center"/>
      </w:pPr>
      <w:r>
        <w:rPr>
          <w:b/>
          <w:color w:val="243447"/>
          <w:sz w:val="22"/>
        </w:rPr>
        <w:t>18 ore nel biennio 2026-2027</w:t>
      </w:r>
    </w:p>
    <w:p>
      <w:pPr>
        <w:jc w:val="center"/>
      </w:pPr>
      <w:r>
        <w:rPr>
          <w:b/>
          <w:sz w:val="26"/>
        </w:rPr>
        <w:t>EDIZIONE 2027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E8F1EC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rPr>
                <w:b/>
              </w:rPr>
              <w:t>Ente proponente</w:t>
            </w:r>
          </w:p>
        </w:tc>
        <w:tc>
          <w:tcPr>
            <w:tcW w:type="dxa" w:w="5156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t>Mediacon s.r.l. - Ente di Formazione iscritto al n. 422</w:t>
            </w:r>
          </w:p>
        </w:tc>
      </w:tr>
      <w:tr>
        <w:tc>
          <w:tcPr>
            <w:tcW w:type="dxa" w:w="5156"/>
            <w:shd w:fill="E8F1EC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rPr>
                <w:b/>
              </w:rPr>
              <w:t>Sede e contatti</w:t>
            </w:r>
          </w:p>
        </w:tc>
        <w:tc>
          <w:tcPr>
            <w:tcW w:type="dxa" w:w="5156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t>Via Bruno Buozzi 10 - 73042 Casarano (LE) | formazione@mediacon.org | PEC mediacon@arubapec.it | www.mediacon.org</w:t>
            </w:r>
          </w:p>
        </w:tc>
      </w:tr>
      <w:tr>
        <w:tc>
          <w:tcPr>
            <w:tcW w:type="dxa" w:w="5156"/>
            <w:shd w:fill="E8F1EC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rPr>
                <w:b/>
              </w:rPr>
              <w:t>Riferimento normativo</w:t>
            </w:r>
          </w:p>
        </w:tc>
        <w:tc>
          <w:tcPr>
            <w:tcW w:type="dxa" w:w="5156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t>Art. 24 D.M. 24 ottobre 2023, n. 150</w:t>
            </w:r>
          </w:p>
        </w:tc>
      </w:tr>
      <w:tr>
        <w:tc>
          <w:tcPr>
            <w:tcW w:type="dxa" w:w="5156"/>
            <w:shd w:fill="E8F1EC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rPr>
                <w:b/>
              </w:rPr>
              <w:t>Edizione</w:t>
            </w:r>
          </w:p>
        </w:tc>
        <w:tc>
          <w:tcPr>
            <w:tcW w:type="dxa" w:w="5156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t>2027 - programma aggiornato al 12 agosto 2026</w:t>
            </w:r>
          </w:p>
        </w:tc>
      </w:tr>
    </w:tbl>
    <w:p/>
    <w:p>
      <w:pPr>
        <w:pStyle w:val="Heading1"/>
        <w:keepNext/>
      </w:pPr>
      <w:r>
        <w:t>Quadro normativo aggiornato al 2027</w:t>
      </w:r>
    </w:p>
    <w:p>
      <w:pPr>
        <w:pStyle w:val="ListBullet"/>
        <w:ind w:left="255" w:hanging="113"/>
      </w:pPr>
      <w:r>
        <w:t>D.Lgs. 4 marzo 2010, n. 28, nel testo vigente, come modificato dal D.Lgs. 10 ottobre 2022, n. 149 e dal D.Lgs. 27 dicembre 2024, n. 216.</w:t>
      </w:r>
    </w:p>
    <w:p>
      <w:pPr>
        <w:pStyle w:val="ListBullet"/>
        <w:ind w:left="255" w:hanging="113"/>
      </w:pPr>
      <w:r>
        <w:t>D.M. 24 ottobre 2023, n. 150, con specifica osservanza degli artt. 23, 24, 26 e 27 e, per il corso di approfondimento giuridico, dell'art. 23, commi 6 e 7.</w:t>
      </w:r>
    </w:p>
    <w:p>
      <w:pPr>
        <w:pStyle w:val="ListBullet"/>
        <w:ind w:left="255" w:hanging="113"/>
      </w:pPr>
      <w:r>
        <w:t>Decreti 1 agosto 2023 in materia di patrocinio a spese dello Stato e incentivi fiscali/crediti d'imposta nei procedimenti di mediazione civile e commerciale.</w:t>
      </w:r>
    </w:p>
    <w:p>
      <w:pPr>
        <w:pStyle w:val="ListBullet"/>
        <w:ind w:left="255" w:hanging="113"/>
      </w:pPr>
      <w:r>
        <w:t>D.Lgs. 1 agosto 2025, n. 123, Testo unico dell'imposta di registro e degli altri tributi indiretti, efficace dal 1° gennaio 2027, con particolare riferimento all'art. 191.</w:t>
      </w:r>
    </w:p>
    <w:p>
      <w:pPr>
        <w:pStyle w:val="ListBullet"/>
        <w:ind w:left="255" w:hanging="113"/>
      </w:pPr>
      <w:r>
        <w:t>Direttiva 2008/52/CE e normativa europea pertinente in materia di ADR e mediazione.</w:t>
      </w:r>
    </w:p>
    <w:p>
      <w:pPr>
        <w:pStyle w:val="ListBullet"/>
        <w:ind w:left="255" w:hanging="113"/>
      </w:pPr>
      <w:r>
        <w:t>Giurisprudenza di legittimità e di merito aggiornata, con focus sugli orientamenti applicativi successivi al correttivo Cartabia.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FF7E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D7194A"/>
              </w:rPr>
              <w:t xml:space="preserve">Conformità all'art. 24 D.M. 150/2023: </w:t>
            </w:r>
            <w:r>
              <w:t>corso riservato a un massimo di 40 mediatori; almeno 18 ore nel biennio. I contenuti sono scelti tra le materie dell'art. 23, comma 3. I moduli possono svolgersi in presenza o mediante collegamento audiovisivo sincrono; le attività laboratoriali devono svolgersi in presenza.</w:t>
            </w:r>
          </w:p>
        </w:tc>
      </w:tr>
    </w:tbl>
    <w:p>
      <w:pPr>
        <w:pStyle w:val="Heading1"/>
        <w:keepNext/>
      </w:pPr>
      <w:r>
        <w:t>Articolazione del programma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3437"/>
            <w:shd w:fill="243447"/>
          </w:tcPr>
          <w:p>
            <w:r>
              <w:rPr>
                <w:b/>
                <w:color w:val="FFFFFF"/>
              </w:rPr>
              <w:t>Modulo / durata</w:t>
            </w:r>
          </w:p>
        </w:tc>
        <w:tc>
          <w:tcPr>
            <w:tcW w:type="dxa" w:w="3437"/>
            <w:shd w:fill="243447"/>
          </w:tcPr>
          <w:p>
            <w:r>
              <w:rPr>
                <w:b/>
                <w:color w:val="FFFFFF"/>
              </w:rPr>
              <w:t>Modalità</w:t>
            </w:r>
          </w:p>
        </w:tc>
        <w:tc>
          <w:tcPr>
            <w:tcW w:type="dxa" w:w="3437"/>
            <w:shd w:fill="243447"/>
          </w:tcPr>
          <w:p>
            <w:r>
              <w:rPr>
                <w:b/>
                <w:color w:val="FFFFFF"/>
              </w:rPr>
              <w:t>Contenuti</w:t>
            </w:r>
          </w:p>
        </w:tc>
      </w:tr>
      <w:tr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Modulo 1</w:t>
              <w:br/>
              <w:t>6 ore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Sincrona online o in presenza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pPr>
              <w:spacing w:after="40"/>
            </w:pPr>
            <w:r/>
            <w:r>
              <w:t>• Evoluzione della cultura ADR e aggiornamento della normativa nazionale, europea e internazionale sulla mediazione.</w:t>
            </w:r>
          </w:p>
          <w:p>
            <w:pPr>
              <w:spacing w:after="40"/>
            </w:pPr>
            <w:r>
              <w:t>• D.Lgs. 28/2010 dopo la riforma Cartabia e il D.Lgs. 216/2024; mediazione obbligatoria e demandata.</w:t>
            </w:r>
          </w:p>
          <w:p>
            <w:pPr>
              <w:spacing w:after="40"/>
            </w:pPr>
            <w:r>
              <w:t>• Giurisprudenza recente su effettività, partecipazione personale, rappresentanza e procura speciale.</w:t>
            </w:r>
          </w:p>
        </w:tc>
      </w:tr>
      <w:tr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Modulo 2</w:t>
              <w:br/>
              <w:t>6 ore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Sincrona online o in presenza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pPr>
              <w:spacing w:after="40"/>
            </w:pPr>
            <w:r/>
            <w:r>
              <w:t>• Validità ed efficacia delle clausole di mediazione.</w:t>
            </w:r>
          </w:p>
          <w:p>
            <w:pPr>
              <w:spacing w:after="40"/>
            </w:pPr>
            <w:r>
              <w:t>• Domanda di mediazione, valore, competenza, effetti; accordo di conciliazione, efficacia esecutiva e trascrivibilità.</w:t>
            </w:r>
          </w:p>
          <w:p>
            <w:pPr>
              <w:spacing w:after="40"/>
            </w:pPr>
            <w:r>
              <w:t>• Compiti e responsabilità del mediatore nella redazione dei verbali e nella formulazione della proposta.</w:t>
            </w:r>
          </w:p>
          <w:p>
            <w:pPr>
              <w:spacing w:after="40"/>
            </w:pPr>
            <w:r>
              <w:t>• Regime tributario della mediazione: art. 17 D.Lgs. 28/2010 e coordinamento, dal 1° gennaio 2027, con l'art. 191 D.Lgs. 123/2025.</w:t>
            </w:r>
          </w:p>
          <w:p>
            <w:pPr>
              <w:spacing w:after="40"/>
            </w:pPr>
            <w:r>
              <w:t>• Esenzione da imposta di bollo e da spese, tasse o diritti per gli atti, documenti e provvedimenti relativi al procedimento.</w:t>
            </w:r>
          </w:p>
          <w:p>
            <w:pPr>
              <w:spacing w:after="40"/>
            </w:pPr>
            <w:r>
              <w:t>• Verbale e accordo di conciliazione: esenzione dall'imposta di registro entro il limite di valore di euro 100.000; imposizione sulla sola parte eccedente.</w:t>
            </w:r>
          </w:p>
          <w:p>
            <w:pPr>
              <w:spacing w:after="40"/>
            </w:pPr>
            <w:r>
              <w:t>• Accordi soggetti a trascrizione, accordi immobiliari e rapporti con il notaio: profili civilistici e fiscali.</w:t>
            </w:r>
          </w:p>
          <w:p>
            <w:pPr>
              <w:spacing w:after="40"/>
            </w:pPr>
            <w:r>
              <w:t>• Art. 20 D.Lgs. 28/2010 e D.M. 1 agosto 2023: crediti d'imposta, presupposti, limiti e modalità di richiesta.</w:t>
            </w:r>
          </w:p>
          <w:p>
            <w:pPr>
              <w:spacing w:after="40"/>
            </w:pPr>
            <w:r>
              <w:t>• Patrocinio a spese dello Stato nella mediazione obbligatoria e demandata; riflessi sulle indennità dell'organismo.</w:t>
            </w:r>
          </w:p>
        </w:tc>
      </w:tr>
      <w:tr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Modulo 3</w:t>
              <w:br/>
              <w:t>6 ore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In presenza - laboratorio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pPr>
              <w:spacing w:after="40"/>
            </w:pPr>
            <w:r/>
            <w:r>
              <w:t>• Laboratorio su comunicazione, profili cognitivi e decisionali e gestione del conflitto.</w:t>
            </w:r>
          </w:p>
          <w:p>
            <w:pPr>
              <w:spacing w:after="40"/>
            </w:pPr>
            <w:r>
              <w:t>• Simulazioni su primo incontro, sessioni separate, proposta e redazione del verbale.</w:t>
            </w:r>
          </w:p>
          <w:p>
            <w:pPr>
              <w:spacing w:after="40"/>
            </w:pPr>
            <w:r>
              <w:t>• Mediazione telematica, firme e corretta formazione del verbale.</w:t>
            </w:r>
          </w:p>
          <w:p>
            <w:pPr>
              <w:spacing w:after="40"/>
            </w:pPr>
            <w:r>
              <w:t>• Analisi di casi e confronto tra mediatori.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964" w:bottom="1020" w:left="964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5"/>
      </w:rPr>
      <w:t>Mediacon s.r.l. - Ente di Formazione n. 422 | Via Bruno Buozzi 10, 73042 Casarano (LE) | formazione@mediacon.org</w:t>
    </w:r>
    <w:r>
      <w:br/>
    </w:r>
    <w:r>
      <w:rPr>
        <w:sz w:val="16"/>
      </w:rPr>
      <w:t xml:space="preserve">Pag. </w:t>
      <w:fldChar w:fldCharType="begin"/>
      <w:instrText xml:space="preserve"> PAGE </w:instrText>
      <w:fldChar w:fldCharType="end"/>
    </w:r>
    <w:r>
      <w:rPr>
        <w:sz w:val="16"/>
      </w:rPr>
      <w:t xml:space="preserve"> di </w:t>
      <w:fldChar w:fldCharType="begin"/>
      <w:instrText xml:space="preserve"> NUMPAGES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9638"/>
    </w:tblGrid>
    <w:tr>
      <w:tc>
        <w:tcPr>
          <w:tcW w:type="dxa" w:w="9638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1728000" cy="81561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43E71A19-2738-49A9-BE68-F851F9B1AE7B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81561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4944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4344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ptos Display" w:hAnsi="Aptos Display"/>
      <w:b/>
      <w:color w:val="D7194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